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4EB8" w:rsidRPr="007C279E" w:rsidRDefault="00B24EB8" w:rsidP="00CA5571">
      <w:pPr>
        <w:jc w:val="center"/>
        <w:rPr>
          <w:b/>
          <w:vanish/>
          <w:color w:val="FF00FF"/>
        </w:rPr>
      </w:pPr>
      <w:bookmarkStart w:id="0" w:name="_GoBack"/>
      <w:bookmarkEnd w:id="0"/>
      <w:r w:rsidRPr="007C279E">
        <w:rPr>
          <w:b/>
          <w:vanish/>
          <w:color w:val="FF00FF"/>
        </w:rPr>
        <w:t>Текст</w:t>
      </w:r>
    </w:p>
    <w:p w:rsidR="007C279E" w:rsidRDefault="007C279E" w:rsidP="0086221A">
      <w:pPr>
        <w:ind w:firstLine="709"/>
        <w:jc w:val="center"/>
        <w:rPr>
          <w:b/>
          <w:sz w:val="30"/>
          <w:szCs w:val="30"/>
        </w:rPr>
      </w:pPr>
      <w:r w:rsidRPr="007C279E">
        <w:rPr>
          <w:b/>
          <w:sz w:val="30"/>
          <w:szCs w:val="30"/>
        </w:rPr>
        <w:t xml:space="preserve">КРЕПКИЕ РЕГИОНЫ – КРЕПКАЯ СТРАНА: </w:t>
      </w:r>
    </w:p>
    <w:p w:rsidR="007C279E" w:rsidRDefault="007C279E" w:rsidP="0086221A">
      <w:pPr>
        <w:ind w:firstLine="709"/>
        <w:jc w:val="center"/>
        <w:rPr>
          <w:b/>
          <w:sz w:val="30"/>
          <w:szCs w:val="30"/>
        </w:rPr>
      </w:pPr>
      <w:r w:rsidRPr="007C279E">
        <w:rPr>
          <w:b/>
          <w:sz w:val="30"/>
          <w:szCs w:val="30"/>
        </w:rPr>
        <w:t xml:space="preserve">О ПЕРСПЕКТИВНЫХ НАПРАВЛЕНИЯХ РАЗВИТИЯ </w:t>
      </w:r>
    </w:p>
    <w:p w:rsidR="007C279E" w:rsidRPr="007C279E" w:rsidRDefault="007C279E" w:rsidP="0086221A">
      <w:pPr>
        <w:ind w:firstLine="709"/>
        <w:jc w:val="center"/>
        <w:rPr>
          <w:b/>
          <w:sz w:val="30"/>
          <w:szCs w:val="30"/>
        </w:rPr>
      </w:pPr>
      <w:r w:rsidRPr="007C279E">
        <w:rPr>
          <w:b/>
          <w:sz w:val="30"/>
          <w:szCs w:val="30"/>
        </w:rPr>
        <w:t xml:space="preserve">БРЕСТСКОЙ ОБЛАСТИ </w:t>
      </w:r>
    </w:p>
    <w:p w:rsidR="00CA5571" w:rsidRDefault="00CA5571" w:rsidP="0086221A">
      <w:pPr>
        <w:ind w:firstLine="709"/>
        <w:jc w:val="center"/>
        <w:rPr>
          <w:sz w:val="30"/>
          <w:szCs w:val="30"/>
        </w:rPr>
      </w:pPr>
      <w:r>
        <w:rPr>
          <w:sz w:val="30"/>
          <w:szCs w:val="30"/>
        </w:rPr>
        <w:t>(областная тема)</w:t>
      </w:r>
    </w:p>
    <w:p w:rsidR="00CA5571" w:rsidRDefault="00CA5571" w:rsidP="00CA5571">
      <w:pPr>
        <w:ind w:firstLine="709"/>
        <w:jc w:val="center"/>
        <w:rPr>
          <w:sz w:val="30"/>
          <w:szCs w:val="30"/>
        </w:rPr>
      </w:pPr>
    </w:p>
    <w:p w:rsidR="007C279E" w:rsidRPr="007C279E" w:rsidRDefault="007C279E" w:rsidP="007C279E">
      <w:pPr>
        <w:shd w:val="clear" w:color="auto" w:fill="FFFFFF"/>
        <w:ind w:firstLine="709"/>
        <w:jc w:val="both"/>
        <w:rPr>
          <w:sz w:val="30"/>
          <w:szCs w:val="30"/>
        </w:rPr>
      </w:pPr>
      <w:r w:rsidRPr="007C279E">
        <w:rPr>
          <w:sz w:val="30"/>
          <w:szCs w:val="30"/>
        </w:rPr>
        <w:t>Устойчивое региональное развитие – одно из приоритетных направлений деятельности руководства страны. О значимости данного вектора и нахождении его на постоянном контроле Президента Республики Беларусь А.Г.</w:t>
      </w:r>
      <w:r>
        <w:rPr>
          <w:sz w:val="30"/>
          <w:szCs w:val="30"/>
        </w:rPr>
        <w:t> </w:t>
      </w:r>
      <w:r w:rsidRPr="007C279E">
        <w:rPr>
          <w:sz w:val="30"/>
          <w:szCs w:val="30"/>
        </w:rPr>
        <w:t>Лукашенко свидетельствуют как проводимые на высшем государственном уровне совещания по вопросам регионального развития, так и частота посещений регионов Главой государства.</w:t>
      </w:r>
    </w:p>
    <w:p w:rsidR="00B8237F" w:rsidRDefault="007C279E" w:rsidP="007C279E">
      <w:pPr>
        <w:shd w:val="clear" w:color="auto" w:fill="FFFFFF"/>
        <w:ind w:firstLine="709"/>
        <w:jc w:val="both"/>
        <w:rPr>
          <w:sz w:val="30"/>
          <w:szCs w:val="30"/>
        </w:rPr>
      </w:pPr>
      <w:r w:rsidRPr="007C279E">
        <w:rPr>
          <w:sz w:val="30"/>
          <w:szCs w:val="30"/>
        </w:rPr>
        <w:t xml:space="preserve">Такое пристальное внимание к политике регионального развития неслучайно, т.к. от него зависит благополучие всей республики в целом и каждого гражданина в отдельности. </w:t>
      </w:r>
    </w:p>
    <w:p w:rsidR="007C279E" w:rsidRDefault="007C279E" w:rsidP="007C279E">
      <w:pPr>
        <w:shd w:val="clear" w:color="auto" w:fill="FFFFFF"/>
        <w:ind w:firstLine="709"/>
        <w:jc w:val="both"/>
        <w:rPr>
          <w:sz w:val="30"/>
          <w:szCs w:val="30"/>
        </w:rPr>
      </w:pPr>
      <w:r w:rsidRPr="007C279E">
        <w:rPr>
          <w:sz w:val="30"/>
          <w:szCs w:val="30"/>
        </w:rPr>
        <w:t>Брестская область или, как часто ее называют, «западные ворота Беларуси»</w:t>
      </w:r>
      <w:r w:rsidR="00064B5F">
        <w:rPr>
          <w:sz w:val="30"/>
          <w:szCs w:val="30"/>
        </w:rPr>
        <w:t>,</w:t>
      </w:r>
      <w:r w:rsidRPr="007C279E">
        <w:rPr>
          <w:sz w:val="30"/>
          <w:szCs w:val="30"/>
        </w:rPr>
        <w:t xml:space="preserve"> – регион со значительным экономическим потенциалом, развитой социальной инфраструктурой и широкими международными связями. На протяжении всей истории он был местом пересечения торговых, культурных и дипломатических путей. Сегодня первый регион имеет большой потенциал в сельскохозяйственной сфере и промышленности.</w:t>
      </w:r>
    </w:p>
    <w:p w:rsidR="007C279E" w:rsidRDefault="007C279E" w:rsidP="007C279E">
      <w:pPr>
        <w:shd w:val="clear" w:color="auto" w:fill="FFFFFF"/>
        <w:ind w:firstLine="709"/>
        <w:jc w:val="both"/>
        <w:rPr>
          <w:sz w:val="30"/>
          <w:szCs w:val="30"/>
        </w:rPr>
      </w:pPr>
      <w:r w:rsidRPr="007C279E">
        <w:rPr>
          <w:sz w:val="30"/>
          <w:szCs w:val="30"/>
        </w:rPr>
        <w:t>Безусловно, в высоких экономических результатах заинтересованы все: от руководства области и субъектов хозяйствования до простых жителей.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В фокусе региональной политики – укрепление конкурентных преимуществ за счет рационального размещения производительных сил, технологического обновления и комплексной индустриализации промышленных и агропромышленных территорий на основе экономической специализации и создания новых рыночных ниш.</w:t>
      </w:r>
    </w:p>
    <w:p w:rsidR="00CF6186" w:rsidRPr="00CF6186" w:rsidRDefault="007C279E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7C279E">
        <w:rPr>
          <w:sz w:val="30"/>
          <w:szCs w:val="30"/>
        </w:rPr>
        <w:t xml:space="preserve">Брестская область является крупным агропромышленным регионом. Здесь сосредоточены предприятия по выпуску продуктов питания, развиты машиностроение, текстильное и швейное производство, изготавливают мебель и строительные материалы. </w:t>
      </w:r>
      <w:r w:rsidR="00CF6186" w:rsidRPr="00CF6186">
        <w:rPr>
          <w:sz w:val="30"/>
          <w:szCs w:val="30"/>
        </w:rPr>
        <w:t>Устойчивое региональное развитие основано на использовании собственного внутреннего потенциала территории</w:t>
      </w:r>
      <w:r w:rsidR="00064B5F">
        <w:rPr>
          <w:sz w:val="30"/>
          <w:szCs w:val="30"/>
        </w:rPr>
        <w:t>,</w:t>
      </w:r>
      <w:r w:rsidR="00CF6186" w:rsidRPr="00CF6186">
        <w:rPr>
          <w:sz w:val="30"/>
          <w:szCs w:val="30"/>
        </w:rPr>
        <w:t xml:space="preserve"> исходя из наличия ресурсов, потребностей местного населения и бизнеса.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FF26A0">
        <w:rPr>
          <w:b/>
          <w:bCs/>
          <w:sz w:val="30"/>
          <w:szCs w:val="30"/>
        </w:rPr>
        <w:t>Аграрный комплекс области</w:t>
      </w:r>
      <w:r w:rsidRPr="00CF6186">
        <w:rPr>
          <w:sz w:val="30"/>
          <w:szCs w:val="30"/>
        </w:rPr>
        <w:t xml:space="preserve"> включает в себя организации-производители сельскохозяйственной продукции, крестьянские (фермерские ) хозяйства</w:t>
      </w:r>
      <w:r>
        <w:rPr>
          <w:sz w:val="30"/>
          <w:szCs w:val="30"/>
        </w:rPr>
        <w:t xml:space="preserve"> (</w:t>
      </w:r>
      <w:r w:rsidRPr="00CF6186">
        <w:rPr>
          <w:sz w:val="30"/>
          <w:szCs w:val="30"/>
        </w:rPr>
        <w:t>179 сельхозорганизаци</w:t>
      </w:r>
      <w:r>
        <w:rPr>
          <w:sz w:val="30"/>
          <w:szCs w:val="30"/>
        </w:rPr>
        <w:t xml:space="preserve">й, </w:t>
      </w:r>
      <w:r w:rsidRPr="00CF6186">
        <w:rPr>
          <w:sz w:val="30"/>
          <w:szCs w:val="30"/>
        </w:rPr>
        <w:t>более 756 фермерских хозяйств</w:t>
      </w:r>
      <w:r>
        <w:rPr>
          <w:sz w:val="30"/>
          <w:szCs w:val="30"/>
        </w:rPr>
        <w:t xml:space="preserve">, </w:t>
      </w:r>
      <w:r w:rsidRPr="00CF6186">
        <w:rPr>
          <w:sz w:val="30"/>
          <w:szCs w:val="30"/>
        </w:rPr>
        <w:t>5 рыбхозов</w:t>
      </w:r>
      <w:r>
        <w:rPr>
          <w:sz w:val="30"/>
          <w:szCs w:val="30"/>
        </w:rPr>
        <w:t>)</w:t>
      </w:r>
      <w:r w:rsidRPr="00CF6186">
        <w:rPr>
          <w:sz w:val="30"/>
          <w:szCs w:val="30"/>
        </w:rPr>
        <w:t>, обслуживающие сельское хозяйство</w:t>
      </w:r>
      <w:r>
        <w:rPr>
          <w:sz w:val="30"/>
          <w:szCs w:val="30"/>
        </w:rPr>
        <w:t xml:space="preserve"> (</w:t>
      </w:r>
      <w:r w:rsidRPr="00CF6186">
        <w:rPr>
          <w:sz w:val="30"/>
          <w:szCs w:val="30"/>
        </w:rPr>
        <w:t>10</w:t>
      </w:r>
      <w:r>
        <w:rPr>
          <w:sz w:val="30"/>
          <w:szCs w:val="30"/>
        </w:rPr>
        <w:t> </w:t>
      </w:r>
      <w:r w:rsidRPr="00CF6186">
        <w:rPr>
          <w:sz w:val="30"/>
          <w:szCs w:val="30"/>
        </w:rPr>
        <w:t>райагросервисов (без сельхозпроизводства)</w:t>
      </w:r>
      <w:r>
        <w:rPr>
          <w:sz w:val="30"/>
          <w:szCs w:val="30"/>
        </w:rPr>
        <w:t>, 1</w:t>
      </w:r>
      <w:r w:rsidRPr="00CF6186">
        <w:rPr>
          <w:sz w:val="30"/>
          <w:szCs w:val="30"/>
        </w:rPr>
        <w:t xml:space="preserve">2 предприятий </w:t>
      </w:r>
      <w:r w:rsidRPr="00CF6186">
        <w:rPr>
          <w:sz w:val="30"/>
          <w:szCs w:val="30"/>
        </w:rPr>
        <w:lastRenderedPageBreak/>
        <w:t>мелиоративных систем</w:t>
      </w:r>
      <w:r>
        <w:rPr>
          <w:sz w:val="30"/>
          <w:szCs w:val="30"/>
        </w:rPr>
        <w:t xml:space="preserve">, </w:t>
      </w:r>
      <w:r w:rsidRPr="00CF6186">
        <w:rPr>
          <w:sz w:val="30"/>
          <w:szCs w:val="30"/>
        </w:rPr>
        <w:t>16 ветеринарных станций</w:t>
      </w:r>
      <w:r>
        <w:rPr>
          <w:sz w:val="30"/>
          <w:szCs w:val="30"/>
        </w:rPr>
        <w:t xml:space="preserve">, </w:t>
      </w:r>
      <w:r w:rsidRPr="00CF6186">
        <w:rPr>
          <w:sz w:val="30"/>
          <w:szCs w:val="30"/>
        </w:rPr>
        <w:t>3 горветстанции</w:t>
      </w:r>
      <w:r>
        <w:rPr>
          <w:sz w:val="30"/>
          <w:szCs w:val="30"/>
        </w:rPr>
        <w:t xml:space="preserve">, </w:t>
      </w:r>
      <w:r w:rsidRPr="00CF6186">
        <w:rPr>
          <w:sz w:val="30"/>
          <w:szCs w:val="30"/>
        </w:rPr>
        <w:t>2</w:t>
      </w:r>
      <w:r>
        <w:rPr>
          <w:sz w:val="30"/>
          <w:szCs w:val="30"/>
        </w:rPr>
        <w:t> </w:t>
      </w:r>
      <w:r w:rsidRPr="00CF6186">
        <w:rPr>
          <w:sz w:val="30"/>
          <w:szCs w:val="30"/>
        </w:rPr>
        <w:t>межветлаборатории</w:t>
      </w:r>
      <w:r>
        <w:rPr>
          <w:sz w:val="30"/>
          <w:szCs w:val="30"/>
        </w:rPr>
        <w:t>,</w:t>
      </w:r>
      <w:r w:rsidRPr="00CF6186">
        <w:rPr>
          <w:sz w:val="30"/>
          <w:szCs w:val="30"/>
        </w:rPr>
        <w:t xml:space="preserve"> 1 облветлаборатория</w:t>
      </w:r>
      <w:r>
        <w:rPr>
          <w:sz w:val="30"/>
          <w:szCs w:val="30"/>
        </w:rPr>
        <w:t>).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В целом по области в сельскохозяйственном производстве занято свыше 46 тыс. человек. Среднемесячная заработная плата в сельском хозяйстве составила в 2023 году 1,6 тыс. рублей, что выше среднереспубликанского уровня (1,4 тыс. рублей).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 xml:space="preserve">Брестская область производит пятую часть валовой продукции сельского хозяйства республики. 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Уровень самообеспечения основной сельскохозяйственной продукцией по всем видам продукции превышает 100%. По производству абсолютного большинства видов сельскохозяйственной продукции на душу населения Брестская область превосходит средние показатели по республике. За 2023 год произведено на 1 человека 1213 кг зерна (по республике – 835 кг), 589 кг картофеля (438 кг), 525 кг овощей (305 кг), 154 кг фруктов и ягод (70 кг), скота и птицы 178 кг (139 кг), молока 1679 кг (908 кг), яиц 473 штуки (375 штук). Эти объемы превосходят потребление.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 xml:space="preserve">Около 80% валовой продукции сельского хозяйства производятся в сельхозорганизациях, в крестьянских (фермерских) хозяйствах – еще почти 6%. 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 xml:space="preserve">Производство постоянно модернизируется. Ежегодно ведется строительство (реконструкция) молочнотоварных ферм, сенажно-силосных траншей, зерноочистительно-сушильных комплексов, птицефабрик, в 2023 году введен в эксплуатацию свинокомплекс в Пинском районе. Ежегодно приобретается не менее 1,5 тысячи единиц сельскохозяйственной техники и оборудования. 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Обновление производственно-технической базы положительно влияет и на результаты работы сельского хозяйства области.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 xml:space="preserve">С начала текущей пятилетки (2021-2023 годы) темп валовой продукции сельского хозяйства в хозяйствах всех категорий самый высокий среди областей республики и составил 109% (по республике – 100,3%). 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По итогам работы по основным показателям животноводства ежегодно обеспечивается рост. За 2021-2023 годы к уровню 2020 года: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- производство молока выросло 16,6%, в 2023 году впервые преодолели рубеж в 2 млн. тонн молока,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- выращивание скота и птицы – на 4,6% до 329 тыс. тонн,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- производство яиц – на 12% до 525 млн. штук.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Область на протяжение многих лет занимает лидирующие позиции по производительности скота: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- на первом месте в республике по среднему удою молока на корову (удой составил 7268 кг, по республике – 5862 кг);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lastRenderedPageBreak/>
        <w:t>- на первом месте по среднесуточным привесам свиней (741 г, по республике – 662 г);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- на втором месте – по среднесуточным привесам крупного рогатого скота (704 г, по республике – 617 г).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Планомерно проводимая работа по модернизации ферм позволила в настоящее время перевести на современные технологии 87% поголовья коров.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 xml:space="preserve">В растениеводстве в 2023 году также по всем основным культурам обеспечен не только рост, но и лучшие результаты по объемам производства: зерна намолотили 1,6 млн. тонн, рапса – 203 тыс. тонн, сахарной свеклы – 1018 тыс. тонн. 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 xml:space="preserve">С учетом кукурузы порог в 100 тысяч тонн зерна перешагнули                     8 районов области. 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В необходимом количестве закладываются картофель и плодоовощная продукция в стабилизационные фонды на межсезонный период. В области функционирует 97 хранилищ общей мощностью                  231 тыс. тонн.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Среди крупных сельхозорганизаций с площадью земель более 20</w:t>
      </w:r>
      <w:r w:rsidR="00FF26A0">
        <w:rPr>
          <w:sz w:val="30"/>
          <w:szCs w:val="30"/>
        </w:rPr>
        <w:t> </w:t>
      </w:r>
      <w:r w:rsidRPr="00CF6186">
        <w:rPr>
          <w:sz w:val="30"/>
          <w:szCs w:val="30"/>
        </w:rPr>
        <w:t>тысяч гектаров можно выделить ОАО «Беловежский» Каменецкого района, ОАО «Птицефабрика «Дружба» Барановичского, ОАО «Городец-Агро» Кобринского, ОАО «Ружаны-Агро» Пружанского районов.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ОАО «Птицефабрика «Дружба» производит более 85% областного объема мяса птицы, ОАО «Беловежский» – треть объема свинины.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Среди хозяйств республики ОАО «Молодово-агро» Ивановского района в пятерке лучших по среднему удою молока, комплексы по откорму крупного рогатого скота ОАО «Остромечево» Брестского, СПК «Федорский» Столинского и ОАО «Парохонское» Пинского районов в десятке лучших по среднесуточным привесам крупного рогатого скота, свинокомплексы ОАО «Брестский мясокомбинат» и ОАО «Пинский комбинат хлебопродуктов» лучшие по среднесуточным привесам свиней.</w:t>
      </w:r>
    </w:p>
    <w:p w:rsid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Перед отраслью сельского хозяйства стоит задача сохранить объемы производства сельскохозяйственной продукции, необходимые для обеспечения продовольственной безопасности республики.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FF26A0">
        <w:rPr>
          <w:b/>
          <w:bCs/>
          <w:sz w:val="30"/>
          <w:szCs w:val="30"/>
        </w:rPr>
        <w:t>Промышленный комплекс Брестской области</w:t>
      </w:r>
      <w:r w:rsidRPr="00CF6186">
        <w:rPr>
          <w:sz w:val="30"/>
          <w:szCs w:val="30"/>
        </w:rPr>
        <w:t xml:space="preserve"> сегодня – это</w:t>
      </w:r>
      <w:r>
        <w:rPr>
          <w:sz w:val="30"/>
          <w:szCs w:val="30"/>
        </w:rPr>
        <w:t xml:space="preserve"> </w:t>
      </w:r>
      <w:r w:rsidRPr="00CF6186">
        <w:rPr>
          <w:sz w:val="30"/>
          <w:szCs w:val="30"/>
        </w:rPr>
        <w:t>порядка 230 основных предприятий, на которых занято 96 тыс. человек.</w:t>
      </w:r>
    </w:p>
    <w:p w:rsidR="00CF6186" w:rsidRP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Формирует треть объема валового регионального продукта и более 11% республиканских объемов промышленного производства.</w:t>
      </w:r>
    </w:p>
    <w:p w:rsidR="00CF6186" w:rsidRDefault="00CF6186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CF6186">
        <w:rPr>
          <w:sz w:val="30"/>
          <w:szCs w:val="30"/>
        </w:rPr>
        <w:t>С начала текущей пятилетки (за 2021-2023 гг.) объем промышленного производства увеличился более чем на 7,5%.</w:t>
      </w:r>
    </w:p>
    <w:p w:rsidR="00FF26A0" w:rsidRPr="00FF26A0" w:rsidRDefault="00FF26A0" w:rsidP="00FF26A0">
      <w:pPr>
        <w:shd w:val="clear" w:color="auto" w:fill="FFFFFF"/>
        <w:ind w:firstLine="709"/>
        <w:jc w:val="both"/>
        <w:rPr>
          <w:sz w:val="30"/>
          <w:szCs w:val="30"/>
        </w:rPr>
      </w:pPr>
      <w:r w:rsidRPr="00FF26A0">
        <w:rPr>
          <w:sz w:val="30"/>
          <w:szCs w:val="30"/>
        </w:rPr>
        <w:t xml:space="preserve">Сохраняется опережающий рост производства в организациях местного (темп роста в фактических ценах за 2020-2023 гг. – 165,6%) и без </w:t>
      </w:r>
      <w:r w:rsidRPr="00FF26A0">
        <w:rPr>
          <w:sz w:val="30"/>
          <w:szCs w:val="30"/>
        </w:rPr>
        <w:lastRenderedPageBreak/>
        <w:t>ведомственного подчинения (174,5%) по сравнению с предприятиями республиканского сектора (125,9%).</w:t>
      </w:r>
    </w:p>
    <w:p w:rsidR="00CF6186" w:rsidRDefault="00FF26A0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FF26A0">
        <w:rPr>
          <w:sz w:val="30"/>
          <w:szCs w:val="30"/>
        </w:rPr>
        <w:t>Необходимо отметить, что рост объемов производства обеспечен также в деревообработке – 105,7%, производстве продуктов нефтепереработки – 119,8%, производстве фармацевтических продуктов – 115,1%, производстве резиновых и пластмассовых изделий – 117,9%, металлургическом производстве – 107,7%, производстве электрооборудования – 122,6%, производстве транспортных средств и оборудования – 168,7%.</w:t>
      </w:r>
    </w:p>
    <w:p w:rsidR="007C279E" w:rsidRDefault="007C279E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7C279E">
        <w:rPr>
          <w:sz w:val="30"/>
          <w:szCs w:val="30"/>
        </w:rPr>
        <w:t xml:space="preserve">Конечно, на такой результат повлияло создание новых производств, в том числе и на базе действующих предприятий путем реализации </w:t>
      </w:r>
      <w:r w:rsidRPr="00CF6186">
        <w:rPr>
          <w:b/>
          <w:bCs/>
          <w:sz w:val="30"/>
          <w:szCs w:val="30"/>
        </w:rPr>
        <w:t>инвестиционных проектов</w:t>
      </w:r>
      <w:r w:rsidRPr="007C279E">
        <w:rPr>
          <w:sz w:val="30"/>
          <w:szCs w:val="30"/>
        </w:rPr>
        <w:t xml:space="preserve">. Поэтому таким созидательным инициативам, которые дают кратный эффект для экономики, оказывается серьезная поддержка. </w:t>
      </w:r>
    </w:p>
    <w:p w:rsidR="00FF26A0" w:rsidRDefault="00FF26A0" w:rsidP="00CF6186">
      <w:pPr>
        <w:shd w:val="clear" w:color="auto" w:fill="FFFFFF"/>
        <w:ind w:firstLine="709"/>
        <w:jc w:val="both"/>
        <w:rPr>
          <w:sz w:val="30"/>
          <w:szCs w:val="30"/>
        </w:rPr>
      </w:pPr>
      <w:r w:rsidRPr="00FF26A0">
        <w:rPr>
          <w:sz w:val="30"/>
          <w:szCs w:val="30"/>
        </w:rPr>
        <w:t>Промышленными предприятиями области в 2021 - 2023 гг. завершена реализация 47 инвестиционных проектов, в том числе в 2023</w:t>
      </w:r>
      <w:r>
        <w:rPr>
          <w:sz w:val="30"/>
          <w:szCs w:val="30"/>
        </w:rPr>
        <w:t> </w:t>
      </w:r>
      <w:r w:rsidRPr="00FF26A0">
        <w:rPr>
          <w:sz w:val="30"/>
          <w:szCs w:val="30"/>
        </w:rPr>
        <w:t>году – 14 проектов на сумму 56,9 млн. руб.</w:t>
      </w:r>
    </w:p>
    <w:p w:rsidR="00FF26A0" w:rsidRPr="00FF26A0" w:rsidRDefault="00FF26A0" w:rsidP="00FF26A0">
      <w:pPr>
        <w:shd w:val="clear" w:color="auto" w:fill="FFFFFF"/>
        <w:ind w:firstLine="709"/>
        <w:jc w:val="both"/>
        <w:rPr>
          <w:sz w:val="30"/>
          <w:szCs w:val="30"/>
        </w:rPr>
      </w:pPr>
      <w:r w:rsidRPr="00FF26A0">
        <w:rPr>
          <w:sz w:val="30"/>
          <w:szCs w:val="30"/>
        </w:rPr>
        <w:t>Для дальнейшего развития промышленного потенциала области сформирован портфель из 109 производственных инвестиционных проектов общей стоимостью более 4 миллиардов рублей и объемом финансирования в 2024 году 800 миллионов рублей (4,248  млрд. руб., в том числе в 2024 году – 802,2 млн. руб.).</w:t>
      </w:r>
    </w:p>
    <w:p w:rsidR="00FF26A0" w:rsidRPr="00FF26A0" w:rsidRDefault="00FF26A0" w:rsidP="00FF26A0">
      <w:pPr>
        <w:shd w:val="clear" w:color="auto" w:fill="FFFFFF"/>
        <w:ind w:firstLine="709"/>
        <w:jc w:val="both"/>
        <w:rPr>
          <w:b/>
          <w:bCs/>
          <w:sz w:val="30"/>
          <w:szCs w:val="30"/>
        </w:rPr>
      </w:pPr>
      <w:r w:rsidRPr="00FF26A0">
        <w:rPr>
          <w:b/>
          <w:bCs/>
          <w:sz w:val="30"/>
          <w:szCs w:val="30"/>
        </w:rPr>
        <w:t>Их них 31 проект реализуется по программе «Один район – Один проект».</w:t>
      </w:r>
    </w:p>
    <w:p w:rsidR="00FF26A0" w:rsidRPr="00FF26A0" w:rsidRDefault="00FF26A0" w:rsidP="00FF26A0">
      <w:pPr>
        <w:shd w:val="clear" w:color="auto" w:fill="FFFFFF"/>
        <w:ind w:firstLine="709"/>
        <w:jc w:val="both"/>
        <w:rPr>
          <w:sz w:val="30"/>
          <w:szCs w:val="30"/>
        </w:rPr>
      </w:pPr>
      <w:r w:rsidRPr="00FF26A0">
        <w:rPr>
          <w:sz w:val="30"/>
          <w:szCs w:val="30"/>
        </w:rPr>
        <w:t>Объем инвестиций по данному кругу проектов запланирован в сумме более 1 миллиарда рублей (1 045,4 млн. рублей).</w:t>
      </w:r>
    </w:p>
    <w:p w:rsidR="00FF26A0" w:rsidRPr="00FF26A0" w:rsidRDefault="00FF26A0" w:rsidP="00FF26A0">
      <w:pPr>
        <w:shd w:val="clear" w:color="auto" w:fill="FFFFFF"/>
        <w:ind w:firstLine="709"/>
        <w:jc w:val="both"/>
        <w:rPr>
          <w:sz w:val="30"/>
          <w:szCs w:val="30"/>
        </w:rPr>
      </w:pPr>
      <w:r w:rsidRPr="00FF26A0">
        <w:rPr>
          <w:sz w:val="30"/>
          <w:szCs w:val="30"/>
        </w:rPr>
        <w:t>Это позволит не просто нарастить производственные мощности предприятий области, но и улучшить показатели эффективности их работы.</w:t>
      </w:r>
      <w:r>
        <w:rPr>
          <w:sz w:val="30"/>
          <w:szCs w:val="30"/>
        </w:rPr>
        <w:t xml:space="preserve"> </w:t>
      </w:r>
      <w:r w:rsidRPr="00FF26A0">
        <w:rPr>
          <w:sz w:val="30"/>
          <w:szCs w:val="30"/>
        </w:rPr>
        <w:t>А также обеспечить создание практически 1200 новых рабочих мест (1191 место) и рост поступлений в бюджет.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На сегодняшний день завершено 7 проектов, в рамках реализации которых создано более 250 новых рабочих мест (при плане 203).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В частности, новая производственная линия открыта</w:t>
      </w:r>
      <w:r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на «Березастройматериалы». Завершен первый пусковой комплекс</w:t>
      </w:r>
      <w:r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по реконструкция производственных корпусов «Зубр Энерджи». Введено оборудование по производству штампованных пластин и автоматическая сборочная линия по производству аккумуляторов.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Организовано производство котонизированного льноволокна</w:t>
      </w:r>
      <w:r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на Ляховичском льнозаводе. Прирост выручки от реализации нового вида продукции по расчетам составит 19%, удельный вес реализуемой на экспорт продукции увеличится на 17%.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Кроме того, реализован ряд крупных проектов:</w:t>
      </w:r>
      <w:r>
        <w:rPr>
          <w:sz w:val="30"/>
          <w:szCs w:val="30"/>
        </w:rPr>
        <w:t xml:space="preserve"> 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lastRenderedPageBreak/>
        <w:t>- с привлечением китайских инвестиций построен цифровой технопарк</w:t>
      </w:r>
      <w:r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в г. Белоозерске вблизи Березовской ГРЭС, ООО «Бел-Битфайндер» – установлено высокотехнологичное оборудование и организована выработка криптовалюты;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- построен холодильный комплекс по переработке и хранению рыбной продукции на природных хладагентах СП «Санта Бремор» ООО – введена</w:t>
      </w:r>
      <w:r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в эксплуатацию первая в стране экологичная холодильная система мощностью 16 МВт. (вместо фреона используются природные хладагенты, которые</w:t>
      </w:r>
      <w:r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не разрушают озоновый слой);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 xml:space="preserve">- современным инновационным оборудованием переоснащено производство на ОАО «Пинское промышленно-торговое объединение «Полесье», г. Пинск </w:t>
      </w:r>
      <w:r w:rsidR="00695059">
        <w:rPr>
          <w:sz w:val="30"/>
          <w:szCs w:val="30"/>
        </w:rPr>
        <w:t>–</w:t>
      </w:r>
      <w:r w:rsidRPr="00783869">
        <w:rPr>
          <w:sz w:val="30"/>
          <w:szCs w:val="30"/>
        </w:rPr>
        <w:t xml:space="preserve"> осуществлено внедрение инновационной технологии производства новых тканеподобных трикотажных изделий.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Предприятиями области выстроено сотрудничество с китайскими и российскими партнерами по поставке технологического оборудования и реализации проектов. На ООО «Арлайт и К» реализован инвестиционный проект по организации производства светодиодов и светодиодной ленты. Инициатор и основной инвестор проекта – ООО «Транзистор.ру» (РФ). Технология производства предоставлена Китайской компанией.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В 2022 году на ООО «БТВ-Агро» завершена реализация инвестиционного проекта «Строительство сельскохозяйственного комплекса</w:t>
      </w:r>
      <w:r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по выращиванию грибниц с котельными на газовом топливе». В рамках проекта создано новое предприятие, внедрена новая технология и организовано производство грибного компоста, который используется при производстве грибов шампиньонов. Реализация проекта позволила снизить импорт сырья из Польши и дополнительно вовлечь в использование солому.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На ООО «СТиМ» реализован инвестиционный проект</w:t>
      </w:r>
      <w:r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по производству модифицированного пентаэритритового эфира канифоли, что позволило снизить потребление импортных аналогов при производстве термопластиков, используемых для нанесения разметки</w:t>
      </w:r>
      <w:r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на асфальтобетонное покрытие. В качестве основного сырья</w:t>
      </w:r>
      <w:r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для производства эфира канифоли используется живица сосновая, заготовка которой осуществляется в лесхозах Республики Беларусь.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 xml:space="preserve">В области развиваются предприятия мебельной и деревообрабатывающей отраслей промышленности, которые обеспечивают потребности внутреннего рынка. По итогам 2023 года объем произведенной на территории области мебели составил практически половину (47,9%) от производимой в республике. Достичь данных результатов позволила реализация проектов на ИООО «АНРЭКС» (по реконструкции здания под производственно-складской комплекс, что </w:t>
      </w:r>
      <w:r w:rsidRPr="00783869">
        <w:rPr>
          <w:sz w:val="30"/>
          <w:szCs w:val="30"/>
        </w:rPr>
        <w:lastRenderedPageBreak/>
        <w:t>позволило практически в 2 раза увеличить производственные мощности предприятия).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Дальнейшее развитие отрасли будет обеспечено за счет реализации проектов на «Ивацевичдрев», модернизации производства мебельных комплектующих на УП «Мебельная фабрика «Лагуна» и строительству производственных зданий на ООО «Диприз».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В перспективе на территории области запланировано создание ряда новых производств, реализация которых позволит сократить зависимость экономики регионов от работы крупных промышленных предприятий: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– в г. Барановичи – проекта по созданию производства холодильной техники совместно с Midea;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– в Брестском районе – проекта по строительству комплекса</w:t>
      </w:r>
      <w:r w:rsidR="007C34F1"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по выпуску экструдированного алюминиевого профиля на ООО «Арлайт ПРО».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На сегодняшний день среди перспективных реализующихся инвестиционных проектов: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- организация производства альбумина и иммуноглобулина</w:t>
      </w:r>
      <w:r w:rsidR="007C34F1"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в г. Ганцевичи на базе ГУ «Республиканский научно-практический центр трансфузиологии и медицинских биотехнологий». Осуществляется возведение производственного модуля на переработку 25 тонн плазмы крови;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-  строительство лаборатории по производству ветеринарных препаратов. в г. Жабинке, ООО «Консулинвест»;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- реализация Группой компаний 1АК-GROUP ряда проектов в городе Пинске по реконструкции производственных корпусов и строительству завода в целях осуществления полного цикла производства аккумуляторных батарей (ООО «Зубр Энерджи» и ООО «1 АК-Пластик»);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- организация производства в Республике Беларусь самолетов, деталей и сборочных единиц, технологической оснастки в рамках промышленной кооперации с авиастроительными предприятиями Российской Федерации на ОАО «558 Авиационный ремонтный завод».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В целях совершенствования инфраструктуры для развития производств регионов «80 плюс» на территории городов Барановичи и Пинск ведется работа по выполнению пилотного проекта – созданию индустриальных парков</w:t>
      </w:r>
      <w:r w:rsidR="00BD59AD">
        <w:rPr>
          <w:sz w:val="30"/>
          <w:szCs w:val="30"/>
        </w:rPr>
        <w:t xml:space="preserve">, что </w:t>
      </w:r>
      <w:r w:rsidRPr="00783869">
        <w:rPr>
          <w:sz w:val="30"/>
          <w:szCs w:val="30"/>
        </w:rPr>
        <w:t xml:space="preserve">позволит </w:t>
      </w:r>
      <w:r w:rsidR="00BD59AD">
        <w:rPr>
          <w:sz w:val="30"/>
          <w:szCs w:val="30"/>
        </w:rPr>
        <w:t xml:space="preserve">этим </w:t>
      </w:r>
      <w:r w:rsidRPr="00783869">
        <w:rPr>
          <w:sz w:val="30"/>
          <w:szCs w:val="30"/>
        </w:rPr>
        <w:t xml:space="preserve">городам обеспечить рост предпринимательской инициативы через создание условий для производств. 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 xml:space="preserve">Учитывая, что более 20% в производственном портфеле области занимают </w:t>
      </w:r>
      <w:r w:rsidRPr="007C34F1">
        <w:rPr>
          <w:b/>
          <w:bCs/>
          <w:sz w:val="30"/>
          <w:szCs w:val="30"/>
        </w:rPr>
        <w:t>импортозамещающие и интеграционные проекты</w:t>
      </w:r>
      <w:r w:rsidRPr="00783869">
        <w:rPr>
          <w:sz w:val="30"/>
          <w:szCs w:val="30"/>
        </w:rPr>
        <w:t>, основной акцент делается на развитии и укреплении имеющихся компетенций</w:t>
      </w:r>
      <w:r w:rsidR="007C34F1"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 xml:space="preserve">с расширением ассортимента и увеличением объемов выпуска </w:t>
      </w:r>
      <w:r w:rsidRPr="00783869">
        <w:rPr>
          <w:sz w:val="30"/>
          <w:szCs w:val="30"/>
        </w:rPr>
        <w:lastRenderedPageBreak/>
        <w:t xml:space="preserve">импортозамещающей продукции как на имеющихся предприятиях, так и на вновь созданных с освоением новых видов продукции. 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В результате наряду с планируемым расширением производства прессов на Кузлитмаше, фанеры на Пинскдреве, мебели из массива дубана Пинском Стэнлесе, гидроцилиндров на Салео-Кобрин в части получения новых компетенций следует отметить создание: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- производства хромированных штоков гидроцилиндров</w:t>
      </w:r>
      <w:r w:rsidR="007C34F1">
        <w:rPr>
          <w:sz w:val="30"/>
          <w:szCs w:val="30"/>
        </w:rPr>
        <w:t xml:space="preserve"> </w:t>
      </w:r>
      <w:r w:rsidRPr="00783869">
        <w:rPr>
          <w:sz w:val="30"/>
          <w:szCs w:val="30"/>
        </w:rPr>
        <w:t>под потребности отечественных машиностроительных предприятий и предприятий Российской Федерации на Кобринском инструментальном заводе «СИТОМО»;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 xml:space="preserve">- </w:t>
      </w:r>
      <w:r w:rsidR="007C34F1">
        <w:rPr>
          <w:sz w:val="30"/>
          <w:szCs w:val="30"/>
        </w:rPr>
        <w:t>о</w:t>
      </w:r>
      <w:r w:rsidRPr="00783869">
        <w:rPr>
          <w:sz w:val="30"/>
          <w:szCs w:val="30"/>
        </w:rPr>
        <w:t xml:space="preserve">бъединенной гидравлической компанией уникального современного производства гидравлических насосов с расчетной проектной мощностью 5 с половиной тысяч единиц гидравлических насосов и запасных частей к ним в год и возможностью увеличения до более чем 8 000 единиц; 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- производства силиконовых патрубков на Брестмаше.</w:t>
      </w:r>
      <w:r w:rsidR="007C34F1">
        <w:rPr>
          <w:sz w:val="30"/>
          <w:szCs w:val="30"/>
        </w:rPr>
        <w:t xml:space="preserve"> </w:t>
      </w:r>
    </w:p>
    <w:p w:rsid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 xml:space="preserve">Поставки данной продукции запланированы в адрес крупных машиностроительных предприятий республики – «МАЗ», «МТЗ», «Гомсельмаш». </w:t>
      </w:r>
    </w:p>
    <w:p w:rsidR="004451F4" w:rsidRPr="00783869" w:rsidRDefault="004451F4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4451F4">
        <w:rPr>
          <w:sz w:val="30"/>
          <w:szCs w:val="30"/>
        </w:rPr>
        <w:t>В результате реализации Плана по итогам 1 квартала 2024 года произведено импортозамещающей продукции на сумму 284,1 млн. долл. США, что составляет 27,2% от запланированного объема производства на 2024 год. На экспорт поставлено продукции на сумму 150,9 млн. долл. США, или 53,1% от всего объема произведенной импортозамещающей продукции.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Результатом выполнения импортозамещающих проектов станет замещение закупок по импорту на сумму более 320 миллионов долларов ежегодно с созданием около 1200 рабочих мест.</w:t>
      </w:r>
    </w:p>
    <w:p w:rsidR="00783869" w:rsidRPr="00783869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 xml:space="preserve">А закономерным итогом </w:t>
      </w:r>
      <w:r w:rsidR="007C34F1">
        <w:rPr>
          <w:sz w:val="30"/>
          <w:szCs w:val="30"/>
        </w:rPr>
        <w:t>–</w:t>
      </w:r>
      <w:r w:rsidRPr="00783869">
        <w:rPr>
          <w:sz w:val="30"/>
          <w:szCs w:val="30"/>
        </w:rPr>
        <w:t xml:space="preserve"> трансформация традиционной структуры промышленного комплекса области.</w:t>
      </w:r>
    </w:p>
    <w:p w:rsidR="00FF26A0" w:rsidRDefault="00783869" w:rsidP="00783869">
      <w:pPr>
        <w:shd w:val="clear" w:color="auto" w:fill="FFFFFF"/>
        <w:ind w:firstLine="709"/>
        <w:jc w:val="both"/>
        <w:rPr>
          <w:sz w:val="30"/>
          <w:szCs w:val="30"/>
        </w:rPr>
      </w:pPr>
      <w:r w:rsidRPr="00783869">
        <w:rPr>
          <w:sz w:val="30"/>
          <w:szCs w:val="30"/>
        </w:rPr>
        <w:t>В целом же, успешная реализация всех запланированных проектов позволит обеспечить устойчивое развитие промышленных предприятий, создание в регионах современных высокооплачиваемых рабочих мест, в конечном итоге решая главную задачу – улучшение уровня и качества жизни населения Брестской области.</w:t>
      </w:r>
      <w:r w:rsidR="00FF26A0" w:rsidRPr="00FF26A0">
        <w:rPr>
          <w:sz w:val="30"/>
          <w:szCs w:val="30"/>
        </w:rPr>
        <w:t xml:space="preserve"> </w:t>
      </w:r>
    </w:p>
    <w:p w:rsidR="00783869" w:rsidRPr="00FF26A0" w:rsidRDefault="00783869" w:rsidP="00FF26A0">
      <w:pPr>
        <w:shd w:val="clear" w:color="auto" w:fill="FFFFFF"/>
        <w:ind w:firstLine="709"/>
        <w:jc w:val="both"/>
        <w:rPr>
          <w:sz w:val="30"/>
          <w:szCs w:val="30"/>
        </w:rPr>
      </w:pPr>
    </w:p>
    <w:sectPr w:rsidR="00783869" w:rsidRPr="00FF26A0" w:rsidSect="006977FD">
      <w:headerReference w:type="even" r:id="rId8"/>
      <w:headerReference w:type="default" r:id="rId9"/>
      <w:pgSz w:w="11906" w:h="16838" w:code="9"/>
      <w:pgMar w:top="1134" w:right="567" w:bottom="1134" w:left="1701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2312" w:rsidRDefault="009A2312">
      <w:r>
        <w:separator/>
      </w:r>
    </w:p>
  </w:endnote>
  <w:endnote w:type="continuationSeparator" w:id="0">
    <w:p w:rsidR="009A2312" w:rsidRDefault="009A2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altName w:val="Lucidasans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2312" w:rsidRDefault="009A2312">
      <w:r>
        <w:separator/>
      </w:r>
    </w:p>
  </w:footnote>
  <w:footnote w:type="continuationSeparator" w:id="0">
    <w:p w:rsidR="009A2312" w:rsidRDefault="009A23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512D" w:rsidRDefault="0071512D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1512D" w:rsidRDefault="0071512D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512D" w:rsidRDefault="0071512D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527188">
      <w:rPr>
        <w:rStyle w:val="aa"/>
        <w:noProof/>
      </w:rPr>
      <w:t>2</w:t>
    </w:r>
    <w:r>
      <w:rPr>
        <w:rStyle w:val="aa"/>
      </w:rPr>
      <w:fldChar w:fldCharType="end"/>
    </w:r>
  </w:p>
  <w:p w:rsidR="0071512D" w:rsidRDefault="0071512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</w:abstractNum>
  <w:abstractNum w:abstractNumId="1" w15:restartNumberingAfterBreak="0">
    <w:nsid w:val="296138C7"/>
    <w:multiLevelType w:val="multilevel"/>
    <w:tmpl w:val="C5583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20464BB"/>
    <w:multiLevelType w:val="hybridMultilevel"/>
    <w:tmpl w:val="255C9A46"/>
    <w:lvl w:ilvl="0" w:tplc="A42CDE7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721"/>
    <w:rsid w:val="000014D7"/>
    <w:rsid w:val="00006639"/>
    <w:rsid w:val="00013A82"/>
    <w:rsid w:val="00023C28"/>
    <w:rsid w:val="00030A5E"/>
    <w:rsid w:val="00032574"/>
    <w:rsid w:val="00032C7B"/>
    <w:rsid w:val="00052020"/>
    <w:rsid w:val="00053C2E"/>
    <w:rsid w:val="00064B5F"/>
    <w:rsid w:val="0006653E"/>
    <w:rsid w:val="000702AC"/>
    <w:rsid w:val="00080825"/>
    <w:rsid w:val="00094507"/>
    <w:rsid w:val="000A1478"/>
    <w:rsid w:val="000A52C4"/>
    <w:rsid w:val="000B5B7C"/>
    <w:rsid w:val="000C26CC"/>
    <w:rsid w:val="000E6218"/>
    <w:rsid w:val="000F1DEB"/>
    <w:rsid w:val="00104F6E"/>
    <w:rsid w:val="001050A0"/>
    <w:rsid w:val="001148BD"/>
    <w:rsid w:val="00114971"/>
    <w:rsid w:val="00130514"/>
    <w:rsid w:val="00143869"/>
    <w:rsid w:val="001446CE"/>
    <w:rsid w:val="00153352"/>
    <w:rsid w:val="001542C8"/>
    <w:rsid w:val="00177834"/>
    <w:rsid w:val="001A0BD5"/>
    <w:rsid w:val="001A4DDF"/>
    <w:rsid w:val="001C3A14"/>
    <w:rsid w:val="001C586A"/>
    <w:rsid w:val="00216575"/>
    <w:rsid w:val="00231A21"/>
    <w:rsid w:val="00241B77"/>
    <w:rsid w:val="00255444"/>
    <w:rsid w:val="002607F2"/>
    <w:rsid w:val="00286392"/>
    <w:rsid w:val="002B3160"/>
    <w:rsid w:val="002B3F55"/>
    <w:rsid w:val="002C7170"/>
    <w:rsid w:val="002D3153"/>
    <w:rsid w:val="002E11D5"/>
    <w:rsid w:val="002E3D76"/>
    <w:rsid w:val="002F2EF9"/>
    <w:rsid w:val="00302514"/>
    <w:rsid w:val="00306033"/>
    <w:rsid w:val="00312B75"/>
    <w:rsid w:val="00320B3F"/>
    <w:rsid w:val="00321118"/>
    <w:rsid w:val="003313CB"/>
    <w:rsid w:val="00341B7F"/>
    <w:rsid w:val="003430AF"/>
    <w:rsid w:val="00343496"/>
    <w:rsid w:val="0034413F"/>
    <w:rsid w:val="00364051"/>
    <w:rsid w:val="0037474E"/>
    <w:rsid w:val="00380E3C"/>
    <w:rsid w:val="00381F69"/>
    <w:rsid w:val="003823AF"/>
    <w:rsid w:val="0038469C"/>
    <w:rsid w:val="0039440C"/>
    <w:rsid w:val="003A5679"/>
    <w:rsid w:val="003B52C7"/>
    <w:rsid w:val="003C7B81"/>
    <w:rsid w:val="003E4321"/>
    <w:rsid w:val="003E532E"/>
    <w:rsid w:val="003F56B1"/>
    <w:rsid w:val="00416EBE"/>
    <w:rsid w:val="00424770"/>
    <w:rsid w:val="00426763"/>
    <w:rsid w:val="00427332"/>
    <w:rsid w:val="00430961"/>
    <w:rsid w:val="00437B66"/>
    <w:rsid w:val="00443A2E"/>
    <w:rsid w:val="004451F4"/>
    <w:rsid w:val="00453FD7"/>
    <w:rsid w:val="004559F2"/>
    <w:rsid w:val="004640C7"/>
    <w:rsid w:val="004820E9"/>
    <w:rsid w:val="00493D30"/>
    <w:rsid w:val="00496FB4"/>
    <w:rsid w:val="004A6E3B"/>
    <w:rsid w:val="004B552F"/>
    <w:rsid w:val="0051063B"/>
    <w:rsid w:val="005169EC"/>
    <w:rsid w:val="00524B6A"/>
    <w:rsid w:val="00527188"/>
    <w:rsid w:val="005278FF"/>
    <w:rsid w:val="00527F06"/>
    <w:rsid w:val="005351CB"/>
    <w:rsid w:val="00570691"/>
    <w:rsid w:val="005747EF"/>
    <w:rsid w:val="005A3163"/>
    <w:rsid w:val="005B08E8"/>
    <w:rsid w:val="005B131E"/>
    <w:rsid w:val="005C2C56"/>
    <w:rsid w:val="005C506F"/>
    <w:rsid w:val="005D0020"/>
    <w:rsid w:val="005D6B43"/>
    <w:rsid w:val="005E2802"/>
    <w:rsid w:val="00605FC5"/>
    <w:rsid w:val="00606E58"/>
    <w:rsid w:val="00607346"/>
    <w:rsid w:val="00620C2C"/>
    <w:rsid w:val="006236B5"/>
    <w:rsid w:val="00631742"/>
    <w:rsid w:val="006512B4"/>
    <w:rsid w:val="00656886"/>
    <w:rsid w:val="00662DBC"/>
    <w:rsid w:val="00664BA9"/>
    <w:rsid w:val="00695059"/>
    <w:rsid w:val="006977FD"/>
    <w:rsid w:val="006B17C2"/>
    <w:rsid w:val="006C372C"/>
    <w:rsid w:val="006E4F8B"/>
    <w:rsid w:val="00700FBF"/>
    <w:rsid w:val="0071512D"/>
    <w:rsid w:val="00722C6E"/>
    <w:rsid w:val="007342AD"/>
    <w:rsid w:val="00735928"/>
    <w:rsid w:val="00751860"/>
    <w:rsid w:val="007543D1"/>
    <w:rsid w:val="007620B4"/>
    <w:rsid w:val="00762992"/>
    <w:rsid w:val="00771029"/>
    <w:rsid w:val="007724CC"/>
    <w:rsid w:val="007744BD"/>
    <w:rsid w:val="007812B5"/>
    <w:rsid w:val="00781721"/>
    <w:rsid w:val="00783869"/>
    <w:rsid w:val="00785A1A"/>
    <w:rsid w:val="0078763D"/>
    <w:rsid w:val="007A5F93"/>
    <w:rsid w:val="007B2CF6"/>
    <w:rsid w:val="007C279E"/>
    <w:rsid w:val="007C34F1"/>
    <w:rsid w:val="007D6F6F"/>
    <w:rsid w:val="007E0254"/>
    <w:rsid w:val="007E1321"/>
    <w:rsid w:val="007E2E09"/>
    <w:rsid w:val="007E7A19"/>
    <w:rsid w:val="00820E7B"/>
    <w:rsid w:val="008237BD"/>
    <w:rsid w:val="008273A7"/>
    <w:rsid w:val="008433EA"/>
    <w:rsid w:val="00845BD6"/>
    <w:rsid w:val="00853E22"/>
    <w:rsid w:val="0086221A"/>
    <w:rsid w:val="00883D8E"/>
    <w:rsid w:val="008A2FFB"/>
    <w:rsid w:val="008C3B25"/>
    <w:rsid w:val="008E3BC3"/>
    <w:rsid w:val="008F35C1"/>
    <w:rsid w:val="008F3AC8"/>
    <w:rsid w:val="00900B30"/>
    <w:rsid w:val="009078E9"/>
    <w:rsid w:val="00907EA2"/>
    <w:rsid w:val="00911382"/>
    <w:rsid w:val="00923E25"/>
    <w:rsid w:val="009503D0"/>
    <w:rsid w:val="0095653C"/>
    <w:rsid w:val="00965A84"/>
    <w:rsid w:val="00982C92"/>
    <w:rsid w:val="0098557C"/>
    <w:rsid w:val="009A2312"/>
    <w:rsid w:val="009A419F"/>
    <w:rsid w:val="009B4107"/>
    <w:rsid w:val="009B6C17"/>
    <w:rsid w:val="009D5D01"/>
    <w:rsid w:val="009D60E8"/>
    <w:rsid w:val="009F1451"/>
    <w:rsid w:val="00A0672F"/>
    <w:rsid w:val="00A2785C"/>
    <w:rsid w:val="00A27C7C"/>
    <w:rsid w:val="00A347CF"/>
    <w:rsid w:val="00A43837"/>
    <w:rsid w:val="00A67622"/>
    <w:rsid w:val="00A75539"/>
    <w:rsid w:val="00A87B65"/>
    <w:rsid w:val="00A97A1F"/>
    <w:rsid w:val="00AA18C9"/>
    <w:rsid w:val="00AA1CA7"/>
    <w:rsid w:val="00AB6C96"/>
    <w:rsid w:val="00AE3251"/>
    <w:rsid w:val="00AF1009"/>
    <w:rsid w:val="00AF1AD2"/>
    <w:rsid w:val="00B24EB8"/>
    <w:rsid w:val="00B24EEC"/>
    <w:rsid w:val="00B31329"/>
    <w:rsid w:val="00B4305F"/>
    <w:rsid w:val="00B44932"/>
    <w:rsid w:val="00B45E1D"/>
    <w:rsid w:val="00B54B9B"/>
    <w:rsid w:val="00B54BE3"/>
    <w:rsid w:val="00B81346"/>
    <w:rsid w:val="00B8237F"/>
    <w:rsid w:val="00B8672A"/>
    <w:rsid w:val="00B906E4"/>
    <w:rsid w:val="00BA2E2B"/>
    <w:rsid w:val="00BB3314"/>
    <w:rsid w:val="00BB41BE"/>
    <w:rsid w:val="00BD59AD"/>
    <w:rsid w:val="00BD6AF4"/>
    <w:rsid w:val="00BE139B"/>
    <w:rsid w:val="00BF28EE"/>
    <w:rsid w:val="00BF622A"/>
    <w:rsid w:val="00C26EF3"/>
    <w:rsid w:val="00C54B68"/>
    <w:rsid w:val="00C662CB"/>
    <w:rsid w:val="00C7320F"/>
    <w:rsid w:val="00C918B7"/>
    <w:rsid w:val="00C93FF5"/>
    <w:rsid w:val="00C9419B"/>
    <w:rsid w:val="00CA5571"/>
    <w:rsid w:val="00CB1DAA"/>
    <w:rsid w:val="00CB3467"/>
    <w:rsid w:val="00CB3CAA"/>
    <w:rsid w:val="00CB4FF0"/>
    <w:rsid w:val="00CB6829"/>
    <w:rsid w:val="00CC257C"/>
    <w:rsid w:val="00CC5717"/>
    <w:rsid w:val="00CD478B"/>
    <w:rsid w:val="00CE32F3"/>
    <w:rsid w:val="00CE4C16"/>
    <w:rsid w:val="00CF6186"/>
    <w:rsid w:val="00D22739"/>
    <w:rsid w:val="00D23269"/>
    <w:rsid w:val="00D32434"/>
    <w:rsid w:val="00D458B0"/>
    <w:rsid w:val="00D46DF5"/>
    <w:rsid w:val="00D561A6"/>
    <w:rsid w:val="00D76A87"/>
    <w:rsid w:val="00D85ABB"/>
    <w:rsid w:val="00D865AC"/>
    <w:rsid w:val="00DA2A03"/>
    <w:rsid w:val="00DB4378"/>
    <w:rsid w:val="00DD1F8A"/>
    <w:rsid w:val="00DD2B03"/>
    <w:rsid w:val="00DE3801"/>
    <w:rsid w:val="00E1324E"/>
    <w:rsid w:val="00E1337D"/>
    <w:rsid w:val="00E2604B"/>
    <w:rsid w:val="00E40744"/>
    <w:rsid w:val="00E47EB5"/>
    <w:rsid w:val="00E60A21"/>
    <w:rsid w:val="00E654C6"/>
    <w:rsid w:val="00E6720C"/>
    <w:rsid w:val="00E71385"/>
    <w:rsid w:val="00EA1750"/>
    <w:rsid w:val="00EA464E"/>
    <w:rsid w:val="00EA5FE2"/>
    <w:rsid w:val="00EB08BB"/>
    <w:rsid w:val="00EB2ED6"/>
    <w:rsid w:val="00ED6048"/>
    <w:rsid w:val="00EE4852"/>
    <w:rsid w:val="00EE71B1"/>
    <w:rsid w:val="00F0573C"/>
    <w:rsid w:val="00F25F3C"/>
    <w:rsid w:val="00F70B77"/>
    <w:rsid w:val="00F731E0"/>
    <w:rsid w:val="00F75B74"/>
    <w:rsid w:val="00F86AF1"/>
    <w:rsid w:val="00F94F3B"/>
    <w:rsid w:val="00FA3AD2"/>
    <w:rsid w:val="00FB5C25"/>
    <w:rsid w:val="00FE1BCB"/>
    <w:rsid w:val="00FF05FA"/>
    <w:rsid w:val="00FF2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5EF95C2-ADCE-45B9-BE19-7B9331263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709"/>
      <w:jc w:val="both"/>
      <w:outlineLvl w:val="0"/>
    </w:pPr>
    <w:rPr>
      <w:sz w:val="3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707" w:firstLine="709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tabs>
        <w:tab w:val="left" w:pos="6840"/>
      </w:tabs>
      <w:spacing w:line="280" w:lineRule="exact"/>
      <w:jc w:val="both"/>
      <w:outlineLvl w:val="2"/>
    </w:pPr>
    <w:rPr>
      <w:sz w:val="30"/>
    </w:rPr>
  </w:style>
  <w:style w:type="paragraph" w:styleId="5">
    <w:name w:val="heading 5"/>
    <w:basedOn w:val="a"/>
    <w:next w:val="a"/>
    <w:link w:val="50"/>
    <w:uiPriority w:val="99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pPr>
      <w:keepNext/>
      <w:spacing w:line="280" w:lineRule="exact"/>
      <w:ind w:right="5670"/>
      <w:outlineLvl w:val="5"/>
    </w:pPr>
    <w:rPr>
      <w:sz w:val="3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paragraph" w:styleId="a3">
    <w:name w:val="Body Text"/>
    <w:basedOn w:val="a"/>
    <w:link w:val="a4"/>
    <w:uiPriority w:val="99"/>
    <w:pPr>
      <w:spacing w:line="280" w:lineRule="exact"/>
      <w:ind w:right="5498"/>
    </w:pPr>
    <w:rPr>
      <w:sz w:val="30"/>
    </w:rPr>
  </w:style>
  <w:style w:type="character" w:customStyle="1" w:styleId="a4">
    <w:name w:val="Основной текст Знак"/>
    <w:basedOn w:val="a0"/>
    <w:link w:val="a3"/>
    <w:uiPriority w:val="99"/>
    <w:locked/>
    <w:rsid w:val="00911382"/>
    <w:rPr>
      <w:rFonts w:cs="Times New Roman"/>
      <w:sz w:val="24"/>
      <w:szCs w:val="24"/>
      <w:lang w:val="ru-RU" w:eastAsia="ru-RU" w:bidi="ar-SA"/>
    </w:rPr>
  </w:style>
  <w:style w:type="character" w:customStyle="1" w:styleId="a5">
    <w:name w:val="Основной текст + Полужирный"/>
    <w:basedOn w:val="a4"/>
    <w:uiPriority w:val="99"/>
    <w:rsid w:val="00911382"/>
    <w:rPr>
      <w:rFonts w:cs="Times New Roman"/>
      <w:b/>
      <w:bCs/>
      <w:sz w:val="24"/>
      <w:szCs w:val="24"/>
      <w:lang w:val="ru-RU" w:eastAsia="ru-RU" w:bidi="ar-SA"/>
    </w:rPr>
  </w:style>
  <w:style w:type="paragraph" w:styleId="a6">
    <w:name w:val="Body Text Indent"/>
    <w:basedOn w:val="a"/>
    <w:link w:val="a7"/>
    <w:uiPriority w:val="99"/>
    <w:pPr>
      <w:ind w:firstLine="709"/>
      <w:jc w:val="both"/>
    </w:pPr>
    <w:rPr>
      <w:sz w:val="30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header"/>
    <w:basedOn w:val="a"/>
    <w:link w:val="a9"/>
    <w:uiPriority w:val="99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Pr>
      <w:rFonts w:cs="Times New Roman"/>
      <w:sz w:val="24"/>
      <w:szCs w:val="24"/>
    </w:rPr>
  </w:style>
  <w:style w:type="character" w:styleId="aa">
    <w:name w:val="page number"/>
    <w:basedOn w:val="a0"/>
    <w:uiPriority w:val="99"/>
    <w:rPr>
      <w:rFonts w:cs="Times New Roman"/>
    </w:rPr>
  </w:style>
  <w:style w:type="paragraph" w:styleId="21">
    <w:name w:val="Body Text Indent 2"/>
    <w:basedOn w:val="a"/>
    <w:link w:val="22"/>
    <w:uiPriority w:val="99"/>
    <w:pPr>
      <w:shd w:val="clear" w:color="auto" w:fill="FFFFFF"/>
      <w:ind w:firstLine="720"/>
      <w:jc w:val="both"/>
    </w:pPr>
    <w:rPr>
      <w:sz w:val="30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pPr>
      <w:spacing w:line="280" w:lineRule="exact"/>
      <w:ind w:left="60"/>
    </w:pPr>
    <w:rPr>
      <w:sz w:val="30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2"/>
    <w:basedOn w:val="a"/>
    <w:link w:val="24"/>
    <w:uiPriority w:val="99"/>
    <w:pPr>
      <w:jc w:val="both"/>
    </w:pPr>
    <w:rPr>
      <w:sz w:val="30"/>
    </w:rPr>
  </w:style>
  <w:style w:type="character" w:customStyle="1" w:styleId="24">
    <w:name w:val="Основной текст 2 Знак"/>
    <w:basedOn w:val="a0"/>
    <w:link w:val="23"/>
    <w:uiPriority w:val="99"/>
    <w:semiHidden/>
    <w:locked/>
    <w:rPr>
      <w:rFonts w:cs="Times New Roman"/>
      <w:sz w:val="24"/>
      <w:szCs w:val="24"/>
    </w:rPr>
  </w:style>
  <w:style w:type="character" w:styleId="ab">
    <w:name w:val="Hyperlink"/>
    <w:basedOn w:val="a0"/>
    <w:uiPriority w:val="99"/>
    <w:rsid w:val="00EE4852"/>
    <w:rPr>
      <w:rFonts w:cs="Times New Roman"/>
      <w:color w:val="0000FF"/>
      <w:u w:val="single"/>
    </w:rPr>
  </w:style>
  <w:style w:type="paragraph" w:styleId="ac">
    <w:name w:val="Balloon Text"/>
    <w:basedOn w:val="a"/>
    <w:link w:val="ad"/>
    <w:uiPriority w:val="99"/>
    <w:semiHidden/>
    <w:rsid w:val="007342A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Pr>
      <w:rFonts w:ascii="Tahoma" w:hAnsi="Tahoma" w:cs="Tahoma"/>
      <w:sz w:val="16"/>
      <w:szCs w:val="16"/>
    </w:rPr>
  </w:style>
  <w:style w:type="paragraph" w:styleId="ae">
    <w:name w:val="No Spacing"/>
    <w:uiPriority w:val="99"/>
    <w:qFormat/>
    <w:rsid w:val="005C2C56"/>
    <w:pPr>
      <w:spacing w:after="0" w:line="240" w:lineRule="auto"/>
    </w:pPr>
    <w:rPr>
      <w:rFonts w:ascii="Calibri" w:hAnsi="Calibri"/>
      <w:lang w:val="ru-RU"/>
    </w:rPr>
  </w:style>
  <w:style w:type="paragraph" w:customStyle="1" w:styleId="ConsPlusNormal">
    <w:name w:val="ConsPlusNormal"/>
    <w:uiPriority w:val="99"/>
    <w:rsid w:val="005C2C5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  <w:lang w:val="ru-RU" w:eastAsia="ru-RU"/>
    </w:rPr>
  </w:style>
  <w:style w:type="table" w:styleId="af">
    <w:name w:val="Table Grid"/>
    <w:basedOn w:val="a1"/>
    <w:uiPriority w:val="99"/>
    <w:rsid w:val="005C2C56"/>
    <w:pPr>
      <w:spacing w:after="0" w:line="240" w:lineRule="auto"/>
    </w:pPr>
    <w:rPr>
      <w:rFonts w:ascii="Calibri" w:hAnsi="Calibri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paragraph" w:styleId="af0">
    <w:name w:val="List Paragraph"/>
    <w:basedOn w:val="a"/>
    <w:uiPriority w:val="99"/>
    <w:qFormat/>
    <w:rsid w:val="005C2C56"/>
    <w:pPr>
      <w:spacing w:after="160" w:line="259" w:lineRule="auto"/>
      <w:ind w:left="708"/>
    </w:pPr>
    <w:rPr>
      <w:rFonts w:ascii="Calibri" w:hAnsi="Calibri"/>
      <w:sz w:val="22"/>
      <w:szCs w:val="22"/>
      <w:lang w:eastAsia="en-US"/>
    </w:rPr>
  </w:style>
  <w:style w:type="paragraph" w:styleId="af1">
    <w:name w:val="footer"/>
    <w:basedOn w:val="a"/>
    <w:link w:val="af2"/>
    <w:uiPriority w:val="99"/>
    <w:unhideWhenUsed/>
    <w:rsid w:val="005C2C56"/>
    <w:pPr>
      <w:tabs>
        <w:tab w:val="center" w:pos="4677"/>
        <w:tab w:val="right" w:pos="9355"/>
      </w:tabs>
      <w:spacing w:after="160" w:line="259" w:lineRule="auto"/>
    </w:pPr>
    <w:rPr>
      <w:rFonts w:ascii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locked/>
    <w:rsid w:val="005C2C56"/>
    <w:rPr>
      <w:rFonts w:ascii="Calibri" w:hAnsi="Calibri" w:cs="Times New Roman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708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70;&#1083;&#1080;&#1103;.SVETA\&#1056;&#1072;&#1073;&#1086;&#1095;&#1080;&#1081;%20&#1089;&#1090;&#1086;&#1083;\&#1064;&#1072;&#1073;&#1083;&#1086;&#1085;&#1099;%20&#1076;&#1086;&#1082;&#1091;&#1084;&#1077;&#1085;&#1090;&#1086;&#1074;\&#1041;&#1083;&#1072;&#1085;&#1082;%20&#1076;&#1083;&#1103;%20&#1087;&#1080;&#1089;&#1100;&#1084;&#1072;%20&#1059;&#105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393D3B-1C22-4081-B608-30304C12D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для письма УО</Template>
  <TotalTime>0</TotalTime>
  <Pages>7</Pages>
  <Words>2348</Words>
  <Characters>13389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БРЭСЦКI АБЛАСНЫ</vt:lpstr>
    </vt:vector>
  </TitlesOfParts>
  <Company/>
  <LinksUpToDate>false</LinksUpToDate>
  <CharactersWithSpaces>15706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БРЭСЦКI АБЛАСНЫ</dc:title>
  <dc:subject/>
  <dc:creator>Пользователь</dc:creator>
  <cp:keywords/>
  <dc:description/>
  <cp:lastModifiedBy>Иван Сергеевич Витковский</cp:lastModifiedBy>
  <cp:revision>2</cp:revision>
  <cp:lastPrinted>2024-09-10T15:50:00Z</cp:lastPrinted>
  <dcterms:created xsi:type="dcterms:W3CDTF">2024-11-13T05:47:00Z</dcterms:created>
  <dcterms:modified xsi:type="dcterms:W3CDTF">2024-11-13T05:47:00Z</dcterms:modified>
</cp:coreProperties>
</file>